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23" w:rsidRDefault="00666923" w:rsidP="009157D5">
      <w:pPr>
        <w:pStyle w:val="rdtytuzkwadratemzielonym"/>
        <w:spacing w:after="85"/>
        <w:ind w:left="0" w:firstLine="0"/>
      </w:pPr>
      <w:r>
        <w:t>Fizyka</w:t>
      </w:r>
    </w:p>
    <w:p w:rsidR="00666923" w:rsidRPr="0080186D" w:rsidRDefault="00BC3CC5" w:rsidP="009157D5">
      <w:pPr>
        <w:pStyle w:val="rdtytuzkwadratemzielonym"/>
        <w:spacing w:after="85"/>
        <w:ind w:left="0" w:firstLine="0"/>
      </w:pPr>
      <w:r w:rsidRPr="0080186D">
        <w:t xml:space="preserve">Szczegółowe wymagania na poszczególne stopnie (oceny) </w:t>
      </w:r>
      <w:r w:rsidR="009157D5">
        <w:t>dla klasy VIII</w:t>
      </w:r>
    </w:p>
    <w:p w:rsidR="00BC3CC5" w:rsidRPr="0080186D" w:rsidRDefault="00BC3CC5" w:rsidP="00BC3CC5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BC3CC5" w:rsidRPr="0080186D" w:rsidRDefault="00BC3CC5" w:rsidP="00BC3CC5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005"/>
        <w:gridCol w:w="296"/>
        <w:gridCol w:w="2801"/>
        <w:gridCol w:w="2664"/>
        <w:gridCol w:w="334"/>
        <w:gridCol w:w="2694"/>
        <w:gridCol w:w="2266"/>
      </w:tblGrid>
      <w:tr w:rsidR="005F32BC" w:rsidRPr="0080186D" w:rsidTr="005F32BC">
        <w:trPr>
          <w:tblHeader/>
        </w:trPr>
        <w:tc>
          <w:tcPr>
            <w:tcW w:w="3301" w:type="dxa"/>
            <w:gridSpan w:val="2"/>
            <w:tcBorders>
              <w:bottom w:val="single" w:sz="8" w:space="0" w:color="E8B418"/>
            </w:tcBorders>
            <w:shd w:val="clear" w:color="auto" w:fill="F8E7C0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2801" w:type="dxa"/>
            <w:tcBorders>
              <w:bottom w:val="single" w:sz="8" w:space="0" w:color="E8B418"/>
            </w:tcBorders>
            <w:shd w:val="clear" w:color="auto" w:fill="F8E7C0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2664" w:type="dxa"/>
            <w:tcBorders>
              <w:bottom w:val="single" w:sz="8" w:space="0" w:color="E8B418"/>
            </w:tcBorders>
            <w:shd w:val="clear" w:color="auto" w:fill="F8E7C0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3028" w:type="dxa"/>
            <w:gridSpan w:val="2"/>
            <w:tcBorders>
              <w:bottom w:val="single" w:sz="8" w:space="0" w:color="E8B418"/>
            </w:tcBorders>
            <w:shd w:val="clear" w:color="auto" w:fill="F8E7C0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2266" w:type="dxa"/>
            <w:tcBorders>
              <w:bottom w:val="single" w:sz="8" w:space="0" w:color="E8B418"/>
            </w:tcBorders>
            <w:shd w:val="clear" w:color="auto" w:fill="F8E7C0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celujący</w:t>
            </w:r>
            <w:proofErr w:type="spellEnd"/>
          </w:p>
        </w:tc>
      </w:tr>
      <w:tr w:rsidR="005F32BC" w:rsidRPr="0080186D" w:rsidTr="005F32BC">
        <w:tc>
          <w:tcPr>
            <w:tcW w:w="14060" w:type="dxa"/>
            <w:gridSpan w:val="7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5F32BC" w:rsidRPr="0080186D" w:rsidTr="005F32BC">
        <w:tc>
          <w:tcPr>
            <w:tcW w:w="3005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ele-ktrostatyka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 w której łatwo mogą się przemieszczać ładunki elektryczne, i 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w której ładunki elektryczne nie mogą się przemieszczać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wyodrębnia z tekstów i rysunków informacje kluczowe dla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opisywane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097" w:type="dxa"/>
            <w:gridSpan w:val="2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; podaje przykłady oddziaływań elektrostatycznych w otaczającej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 ich zastosowań (poznane na lekcji)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na przykładach, kiedy ciało jest naładowane dodatnio,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a 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 a kiedy – jon ujemny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 i izolatorów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5F32BC" w:rsidRPr="0080186D" w:rsidRDefault="005F32BC" w:rsidP="005016AE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5F32BC" w:rsidRDefault="005F32BC" w:rsidP="005016AE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5F32BC" w:rsidRPr="00D80932" w:rsidRDefault="005F32BC" w:rsidP="005016AE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 xml:space="preserve">korzystając z ich opisów </w:t>
            </w:r>
            <w:r w:rsidRPr="00D80932">
              <w:rPr>
                <w:sz w:val="17"/>
                <w:szCs w:val="17"/>
                <w:lang w:val="pl-PL"/>
              </w:rPr>
              <w:lastRenderedPageBreak/>
              <w:t>i 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 i sposób postępowania, wyjaśnia rolę użytych przyrządów, przedstawia wyniki i formułuje wnioski na podstawie tych wyników)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2998" w:type="dxa"/>
            <w:gridSpan w:val="2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 w otaczającej rzeczywistości i ich zastosowań (inne niż poznane na lekcji)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 grawitacyjne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 i zapisuje wynik zgodnie z zasadami zaokrąglania, z zachowaniem liczby cyfr znaczących wynikającej z danych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 w metalach znajdują się elektrony swobodne, a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na tej podstawie uzasadnia podział substancji na przewodniki i izolatory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działanie i 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5F32BC" w:rsidRDefault="005F32BC" w:rsidP="005016AE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5F32BC" w:rsidRPr="00D80932" w:rsidRDefault="005F32BC" w:rsidP="005016AE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D80932" w:rsidRDefault="005F32BC" w:rsidP="005016A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226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Uczeń:</w:t>
            </w:r>
          </w:p>
          <w:p w:rsidR="005F32BC" w:rsidRDefault="005F32BC" w:rsidP="005F32BC">
            <w:pPr>
              <w:pStyle w:val="TableParagraph"/>
              <w:tabs>
                <w:tab w:val="left" w:pos="224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5F32BC" w:rsidRPr="005F32BC" w:rsidRDefault="005F32BC" w:rsidP="005F32BC">
            <w:pPr>
              <w:pStyle w:val="TableParagraph"/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5F32BC">
              <w:rPr>
                <w:sz w:val="17"/>
                <w:szCs w:val="17"/>
                <w:lang w:val="pl-PL"/>
              </w:rPr>
              <w:t xml:space="preserve">analizuje tzw. szereg </w:t>
            </w:r>
            <w:proofErr w:type="spellStart"/>
            <w:r w:rsidRPr="005F32BC">
              <w:rPr>
                <w:sz w:val="17"/>
                <w:szCs w:val="17"/>
                <w:lang w:val="pl-PL"/>
              </w:rPr>
              <w:t>tryboelektryczny</w:t>
            </w:r>
            <w:proofErr w:type="spellEnd"/>
          </w:p>
          <w:p w:rsidR="005F32BC" w:rsidRPr="0080186D" w:rsidRDefault="005F32BC" w:rsidP="005F32BC">
            <w:pPr>
              <w:pStyle w:val="TableParagraph"/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 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F32BC" w:rsidRP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5F32BC" w:rsidRPr="0080186D" w:rsidTr="005F32BC">
        <w:tc>
          <w:tcPr>
            <w:tcW w:w="11794" w:type="dxa"/>
            <w:gridSpan w:val="6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  <w:tc>
          <w:tcPr>
            <w:tcW w:w="226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5F32BC" w:rsidRPr="0080186D" w:rsidTr="005F32BC">
        <w:trPr>
          <w:trHeight w:val="5486"/>
        </w:trPr>
        <w:tc>
          <w:tcPr>
            <w:tcW w:w="3301" w:type="dxa"/>
            <w:gridSpan w:val="2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mierz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szeregowo, woltomierz równolegle)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2801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5F32BC" w:rsidRPr="006C5765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rysuje schematy obwodów elektrycznych składających się z jednego źródła energii, jednego odbiornika, mierników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5F32BC" w:rsidRPr="00173924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5F32BC" w:rsidRPr="00173924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5F32BC" w:rsidRDefault="005F32BC" w:rsidP="005016AE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5F32BC" w:rsidRPr="006C5765" w:rsidRDefault="005F32BC" w:rsidP="005016A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</w:t>
            </w:r>
            <w:r w:rsidRPr="006C5765">
              <w:rPr>
                <w:sz w:val="17"/>
                <w:szCs w:val="17"/>
                <w:lang w:val="pl-PL"/>
              </w:rPr>
              <w:lastRenderedPageBreak/>
              <w:t>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2664" w:type="dxa"/>
            <w:vMerge w:val="restart"/>
            <w:tcBorders>
              <w:top w:val="single" w:sz="6" w:space="0" w:color="C4C4C4"/>
              <w:right w:val="single" w:sz="4" w:space="0" w:color="C2D69B" w:themeColor="accent3" w:themeTint="99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5F32BC" w:rsidRDefault="005F32BC" w:rsidP="005F32BC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elektrycznego przewodnika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5F32BC" w:rsidRPr="006C5765" w:rsidRDefault="005F32BC" w:rsidP="005016A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302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5F32BC" w:rsidRPr="005F32BC" w:rsidRDefault="005F32BC" w:rsidP="005F32BC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  <w:tc>
          <w:tcPr>
            <w:tcW w:w="226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Uczeń:</w:t>
            </w:r>
          </w:p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doświad-czenie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podrę</w:t>
            </w:r>
            <w:r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-porównuje </w:t>
            </w:r>
            <w:r w:rsidRPr="0080186D">
              <w:rPr>
                <w:sz w:val="17"/>
                <w:szCs w:val="17"/>
                <w:lang w:val="pl-PL"/>
              </w:rPr>
              <w:t>ruch swobodnych elektronów w przewodniku z ruchem elektronów wtedy, gdy do końców przewodnika podłączymy źródło napięcia</w:t>
            </w:r>
          </w:p>
          <w:p w:rsidR="005F32BC" w:rsidRPr="0080186D" w:rsidRDefault="005F32BC" w:rsidP="005F32BC">
            <w:pPr>
              <w:pStyle w:val="TableParagraph"/>
              <w:tabs>
                <w:tab w:val="left" w:pos="225"/>
              </w:tabs>
              <w:spacing w:after="20" w:line="216" w:lineRule="exact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position w:val="5"/>
                <w:sz w:val="12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 oraz tabelami wielkości fizycznych w celu odszukania jego wartości dla danej substancji;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analizuje i porównuje wartości oporu właściwego różnych substancji</w:t>
            </w:r>
          </w:p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  <w:p w:rsidR="005F32BC" w:rsidRP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5F32BC" w:rsidRPr="0080186D" w:rsidTr="005F32BC">
        <w:tc>
          <w:tcPr>
            <w:tcW w:w="3301" w:type="dxa"/>
            <w:gridSpan w:val="2"/>
            <w:vMerge/>
            <w:tcBorders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801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664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028" w:type="dxa"/>
            <w:gridSpan w:val="2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266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5F32BC" w:rsidRP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5F32BC" w:rsidRPr="0080186D" w:rsidTr="005F32BC">
        <w:tc>
          <w:tcPr>
            <w:tcW w:w="11794" w:type="dxa"/>
            <w:gridSpan w:val="6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  <w:tc>
          <w:tcPr>
            <w:tcW w:w="226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5F32BC" w:rsidRPr="0080186D" w:rsidTr="005F32BC">
        <w:tc>
          <w:tcPr>
            <w:tcW w:w="3301" w:type="dxa"/>
            <w:gridSpan w:val="2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 w obecności magnesu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w otoczeniu prostoliniowego przewodnika z prądem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oddziaływanie magnetyczne jako podstawę działania silników elektrycznych; podaje przykłady wykorzystania silników elektrycznych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wyodrębnia z tekstów i 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2801" w:type="dxa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na przykładzie żelaza oddziaływanie magnesów na materiały magnetyczne;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stwierdza, że w pobliżu magnesu każdy kawałek żelaza staje się magnesem (namagnesowuje się), a przedmioty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 ferromagnetyku wzmacniają oddziaływanie magnetyczne magnesu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 a kiedy odpychają)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działanie elektromagnesu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magnesów i magnesów; podaje przykłady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zastosowania elektromagnesów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 i inne materiały magnetyczne,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zachowanie igły magnetycznej w 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 prądem,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 w:rsidR="005F32BC" w:rsidRDefault="005F32BC" w:rsidP="005016A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 w niej rdzenia z ferromagnetyku oraz liczby zwojów i natężenia prądu płynącego przez zwoje, </w:t>
            </w:r>
          </w:p>
          <w:p w:rsidR="005F32BC" w:rsidRPr="0080186D" w:rsidRDefault="005F32BC" w:rsidP="005016A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2664" w:type="dxa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i magnetyczne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stwierdza, że linie, wzdłuż których igła kompasu lub opiłki układają się wokół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prostoliniowego przewodnika z prą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i zwojnicy (reguła śruby prawoskrętnej, reguła prawej dłoni, na podstawie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oznaczają-cych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 i 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 w:rsidR="005F32BC" w:rsidRPr="00750CCB" w:rsidRDefault="005F32BC" w:rsidP="005016A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bada, od czego zależą jej wartość i zwrot,</w:t>
            </w:r>
          </w:p>
          <w:p w:rsidR="005F32BC" w:rsidRDefault="005F32BC" w:rsidP="00501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lastRenderedPageBreak/>
              <w:t>demonstruje zasadę działania silnika elektrycznego prądu stałego,</w:t>
            </w:r>
          </w:p>
          <w:p w:rsidR="005F32BC" w:rsidRPr="00750CCB" w:rsidRDefault="005F32BC" w:rsidP="005016AE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 xml:space="preserve">korzystając z ich opisu i 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Właściwości magnesów i 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3028" w:type="dxa"/>
            <w:gridSpan w:val="2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2266" w:type="dxa"/>
            <w:tcBorders>
              <w:top w:val="single" w:sz="6" w:space="0" w:color="C4C4C4"/>
            </w:tcBorders>
            <w:shd w:val="clear" w:color="auto" w:fill="FDFAF1"/>
          </w:tcPr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Uczeń:</w:t>
            </w:r>
          </w:p>
          <w:p w:rsidR="005F32BC" w:rsidRDefault="005F32BC" w:rsidP="005F32BC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bezpieczeństwa</w:t>
            </w:r>
          </w:p>
          <w:p w:rsidR="005F32BC" w:rsidRPr="005F32BC" w:rsidRDefault="005F32BC" w:rsidP="005F32BC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</w:t>
            </w:r>
            <w:r>
              <w:rPr>
                <w:spacing w:val="6"/>
                <w:sz w:val="17"/>
                <w:szCs w:val="17"/>
                <w:lang w:val="pl-PL"/>
              </w:rPr>
              <w:t xml:space="preserve">ady; przeprowadza doświadczenie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wy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kazujące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 z jego opisu; formułuje wniosek</w:t>
            </w:r>
          </w:p>
          <w:p w:rsidR="005F32BC" w:rsidRP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5F32BC" w:rsidRPr="0080186D" w:rsidTr="005F32BC">
        <w:tc>
          <w:tcPr>
            <w:tcW w:w="11794" w:type="dxa"/>
            <w:gridSpan w:val="6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 xml:space="preserve">IV. DRGANIA </w:t>
            </w:r>
            <w:proofErr w:type="spellStart"/>
            <w:r w:rsidRPr="0080186D">
              <w:rPr>
                <w:b/>
                <w:sz w:val="17"/>
                <w:szCs w:val="17"/>
              </w:rPr>
              <w:t>i</w:t>
            </w:r>
            <w:proofErr w:type="spellEnd"/>
            <w:r w:rsidRPr="0080186D">
              <w:rPr>
                <w:b/>
                <w:sz w:val="17"/>
                <w:szCs w:val="17"/>
              </w:rPr>
              <w:t> FALE</w:t>
            </w:r>
          </w:p>
        </w:tc>
        <w:tc>
          <w:tcPr>
            <w:tcW w:w="226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5F32BC" w:rsidRPr="0080186D" w:rsidTr="005F32BC">
        <w:tc>
          <w:tcPr>
            <w:tcW w:w="3301" w:type="dxa"/>
            <w:gridSpan w:val="2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0B39E2" w:rsidRDefault="005F32BC" w:rsidP="005016A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:rsidR="005F32BC" w:rsidRPr="000B39E2" w:rsidRDefault="005F32BC" w:rsidP="005016A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 w:rsidR="005F32BC" w:rsidRPr="000B39E2" w:rsidRDefault="005F32BC" w:rsidP="005016A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pojęciami: amplitudy, okresu, częstotliwości i 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dźwięku jest drgające ciało, a 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 w próżni); podaje przykłady źródeł dźwięków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fale dźwiękowe można opisać za pomocą tych samych związków między długością, prędkością, częstotliwością i okresem fali, jak w 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 w różnych ośrodkach, korzystając z tabeli tych wartości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 i gamma; podaje przykłady ich zastosowania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ciężar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zawieszonego na sprężynie lub nici; wskazuje położenie równo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 i amplitudę drgań,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 w:rsidR="005F32BC" w:rsidRDefault="005F32BC" w:rsidP="005016A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jako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 i zależność ich głośności od amplitudy drgań,</w:t>
            </w:r>
          </w:p>
          <w:p w:rsidR="005F32BC" w:rsidRPr="007A2480" w:rsidRDefault="005F32BC" w:rsidP="005016A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opisów; opisuje przebieg przeprowadzonego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 i formułuje wnioski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wyodrębnia z tekstów, tabel i ilustracji informacje kluczowe dla opisywanego zjawiska lub problemu; rozpoznaje zależność rosnącą i 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 z tabeli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2801" w:type="dxa"/>
            <w:tcBorders>
              <w:top w:val="single" w:sz="6" w:space="0" w:color="C4C4C4"/>
            </w:tcBorders>
            <w:shd w:val="clear" w:color="auto" w:fill="FDFAF1"/>
          </w:tcPr>
          <w:p w:rsidR="005F32BC" w:rsidRPr="000B39E2" w:rsidRDefault="005F32BC" w:rsidP="005016AE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5F32BC" w:rsidRPr="000B39E2" w:rsidRDefault="005F32BC" w:rsidP="005016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 w:rsidR="005F32BC" w:rsidRPr="000B39E2" w:rsidRDefault="005F32BC" w:rsidP="005016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wykona-nych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5F32BC" w:rsidRPr="00921BA1" w:rsidRDefault="005F32BC" w:rsidP="005016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doświadczalnie wyznacza okres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częstotli-wość</w:t>
            </w:r>
            <w:proofErr w:type="spell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w ruchu okresowym (wahadła i 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 xml:space="preserve">i zapisuje wyniki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zgodnie z zasadami zaokrąglania, z zachowaniem liczby cyfr znaczących wynikającej z dokładności pomiarów; formułuje wnioski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analizuje jakościowo przemiany energii kinetycznej i energii potencjalnej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sprężysto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w ruchu drgającym; podaje przykłady przemian energii podczas drgań zachodzących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5F32BC" w:rsidRPr="007A2480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 xml:space="preserve"> (lub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  <w:lang w:val="pl-PL"/>
              </w:rPr>
              <w:t>)</w:t>
            </w:r>
          </w:p>
          <w:p w:rsidR="005F32BC" w:rsidRPr="007A2480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 w obliczeniach związki między okres</w:t>
            </w:r>
            <w:r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 o różnych częstotliwościach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drgającego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przedmiotu lub instrumentu muzycznego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fal dźwiękowych w powietrzu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 w czasie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im długości i częstotliwości fal, korzystając z diagramu przedstawiającego widmo fal elektromagnetycznych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cechy wspólne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 i świetlne)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(przelicza wielokrotności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oblicze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 zapisuje wynik zgodnie z zasadami zaokrąglania, z zachowaniem liczby cyfr znaczących wynikającej z danych)</w:t>
            </w:r>
          </w:p>
        </w:tc>
        <w:tc>
          <w:tcPr>
            <w:tcW w:w="2664" w:type="dxa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 i amplitudę; porównuje fale na podstawie ich ilustracji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3028" w:type="dxa"/>
            <w:gridSpan w:val="2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  <w:tc>
          <w:tcPr>
            <w:tcW w:w="2266" w:type="dxa"/>
            <w:tcBorders>
              <w:top w:val="single" w:sz="6" w:space="0" w:color="C4C4C4"/>
            </w:tcBorders>
            <w:shd w:val="clear" w:color="auto" w:fill="FDFAF1"/>
          </w:tcPr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Uczeń:</w:t>
            </w:r>
          </w:p>
          <w:p w:rsidR="005F32BC" w:rsidRDefault="005F32BC" w:rsidP="005F32BC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5F32BC" w:rsidRDefault="005F32BC" w:rsidP="005F32BC">
            <w:pPr>
              <w:pStyle w:val="TableParagraph"/>
              <w:tabs>
                <w:tab w:val="left" w:pos="223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 w:rsidR="005F32BC" w:rsidRPr="005F32BC" w:rsidRDefault="005F32BC" w:rsidP="005F32BC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5F32BC" w:rsidRP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5F32BC" w:rsidRPr="0080186D" w:rsidTr="005F32BC">
        <w:tc>
          <w:tcPr>
            <w:tcW w:w="11794" w:type="dxa"/>
            <w:gridSpan w:val="6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  <w:tc>
          <w:tcPr>
            <w:tcW w:w="226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5F32BC" w:rsidRPr="0080186D" w:rsidTr="005F32BC">
        <w:tc>
          <w:tcPr>
            <w:tcW w:w="3301" w:type="dxa"/>
            <w:gridSpan w:val="2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B02444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mechanizm powstawania cienia i półcienia jako konsekwencje prostoliniowego rozchodzenia się światła w ośrodku jednorodnym; podaje przykłady powstawania cienia i półcienia w otaczającej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 osi optycznej i promienia krzywizny zwierciadła; 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barwne i 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w pryzmacie; porównuje przejście światła jednobarwnego i światła białego przez pryzmat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 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 i rozpraszającej; podaje przykłady soczewek w otaczającej rzeczywistości oraz przykłady ich wykorzystania</w:t>
            </w:r>
          </w:p>
          <w:p w:rsidR="005F32BC" w:rsidRPr="00B02444" w:rsidRDefault="005F32BC" w:rsidP="005016A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rzeczy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i pozornych wytwarzanych przez soczewki, znając położenie ogniska</w:t>
            </w:r>
          </w:p>
          <w:p w:rsidR="005F32BC" w:rsidRPr="00B02444" w:rsidRDefault="005F32BC" w:rsidP="005016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wysokości obrazu i wysokości przedmiotu</w:t>
            </w:r>
          </w:p>
          <w:p w:rsidR="005F32BC" w:rsidRPr="00B02444" w:rsidRDefault="005F32BC" w:rsidP="005016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 i półcienia,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rozpro-szenia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 i światła białego przez pryzmat,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 w:rsidR="005F32BC" w:rsidRPr="00B02444" w:rsidRDefault="005F32BC" w:rsidP="005016A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 w:rsidR="005F32BC" w:rsidRPr="00B02444" w:rsidRDefault="005F32BC" w:rsidP="005016A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Pr="00B02444">
              <w:rPr>
                <w:sz w:val="17"/>
                <w:szCs w:val="17"/>
                <w:lang w:val="pl-PL"/>
              </w:rPr>
              <w:t>orzystając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B02444">
              <w:rPr>
                <w:sz w:val="17"/>
                <w:szCs w:val="17"/>
                <w:lang w:val="pl-PL"/>
              </w:rPr>
              <w:t>ich opisu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 i nieistotne dla wyników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ilu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współpracuje w zespole podczas przeprowadzania obserwacji i doświadczeń,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2801" w:type="dxa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 w ośrodku jednorodnym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kąta padania, kąta odbicia i normalnej do opisu zjawiska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odbicia światła od powierzchni płaskiej; opisuje związek między kątem padania a kątem odbicia; podaje i stosuje prawo odbicia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5F32BC" w:rsidRPr="00BB3E18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i 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 pozornych wytwarzanych przez zwierciadła sferyczne, znając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położenie ogniska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i ilustruje bieg promieni równoległych do osi optycznej przechodzących przez soczewki skupiającą i rozpraszającą, posługując się pojęciami ogniska i 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 i pozorne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i stosuje odwracalność biegu promieni świetlnych (stwierdza np., że promienie wychodzące z ogniska po załamaniu w soczewce skupiającej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tworzą wiązkę promieni równoległych do osi optycznej)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rysunku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zjawisko załamania światła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granicy ośrodków,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 w:rsidR="005F32BC" w:rsidRPr="0080186D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5F32BC" w:rsidRDefault="005F32BC" w:rsidP="005016A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skupiają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5F32BC" w:rsidRPr="00B02444" w:rsidRDefault="005F32BC" w:rsidP="005016AE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2664" w:type="dxa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05791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5F32BC" w:rsidRPr="0005791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wyjaśnia mechanizm zjawisk zaćmienia Słońca i 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projektuje i przeprowadza doświadczenie potwierdzające równość kątów padania i odbicia; wskazuje czynniki istotne i nieistotne dla wyników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doświadczenia; prezentuje i krytycznie ocenia wyniki doświadczenia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5F32BC" w:rsidRPr="0005791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 i stosuje związek ogniskowej z promieniem krzywizny (w przybliżeniu</w:t>
            </w:r>
            <w:r w:rsidRPr="0005791D"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 w:rsidR="005F32BC" w:rsidRPr="0005791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5F32BC" w:rsidRPr="0005791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wyjaśnia mechanizm rozszczepienia światła w pryzmacie, posługując się związkiem między prędkością światła a długością fali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świetlnej w różnych ośrodkach i odwołując się do widma światła białego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5F32BC" w:rsidRPr="0005791D" w:rsidRDefault="005F32BC" w:rsidP="005016A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Pr="0005791D">
              <w:rPr>
                <w:spacing w:val="-4"/>
                <w:sz w:val="17"/>
                <w:szCs w:val="17"/>
                <w:lang w:val="pl-PL"/>
              </w:rPr>
              <w:t xml:space="preserve">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3028" w:type="dxa"/>
            <w:gridSpan w:val="2"/>
            <w:tcBorders>
              <w:top w:val="single" w:sz="6" w:space="0" w:color="C4C4C4"/>
            </w:tcBorders>
            <w:shd w:val="clear" w:color="auto" w:fill="FDFAF1"/>
          </w:tcPr>
          <w:p w:rsidR="005F32BC" w:rsidRPr="0080186D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5F32BC" w:rsidRPr="0080186D" w:rsidRDefault="005F32BC" w:rsidP="005016A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2266" w:type="dxa"/>
            <w:tcBorders>
              <w:top w:val="single" w:sz="6" w:space="0" w:color="C4C4C4"/>
            </w:tcBorders>
            <w:shd w:val="clear" w:color="auto" w:fill="FDFAF1"/>
          </w:tcPr>
          <w:p w:rsid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Uczeń:</w:t>
            </w:r>
          </w:p>
          <w:p w:rsidR="005F32BC" w:rsidRPr="0005791D" w:rsidRDefault="005F32BC" w:rsidP="005F32BC">
            <w:pPr>
              <w:pStyle w:val="TableParagraph"/>
              <w:tabs>
                <w:tab w:val="left" w:pos="225"/>
              </w:tabs>
              <w:spacing w:after="20" w:line="190" w:lineRule="exact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występujące w przyrodzie (np.</w:t>
            </w:r>
            <w:r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206AC8" w:rsidRDefault="00206AC8" w:rsidP="00206AC8">
            <w:pPr>
              <w:pStyle w:val="TableParagraph"/>
              <w:tabs>
                <w:tab w:val="left" w:pos="223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05791D">
              <w:rPr>
                <w:sz w:val="17"/>
                <w:szCs w:val="17"/>
                <w:lang w:val="pl-PL"/>
              </w:rPr>
              <w:t xml:space="preserve"> 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 xml:space="preserve">; porównuje obrazy w zależności od odległości przedmiotu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od soczewki skupiającej i rodzaju soczewki</w:t>
            </w:r>
          </w:p>
          <w:p w:rsidR="00206AC8" w:rsidRPr="0080186D" w:rsidRDefault="00206AC8" w:rsidP="00206AC8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posługuje się pojęciami astygmatyzmu i da</w:t>
            </w:r>
            <w:r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:rsidR="005F32BC" w:rsidRPr="005F32BC" w:rsidRDefault="005F32BC" w:rsidP="005016A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</w:tbl>
    <w:p w:rsidR="0086555C" w:rsidRDefault="0086555C"/>
    <w:sectPr w:rsidR="0086555C" w:rsidSect="00BC3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CC5"/>
    <w:rsid w:val="001A662D"/>
    <w:rsid w:val="00206AC8"/>
    <w:rsid w:val="00402CB8"/>
    <w:rsid w:val="00467D47"/>
    <w:rsid w:val="005D0FEC"/>
    <w:rsid w:val="005F32BC"/>
    <w:rsid w:val="00666923"/>
    <w:rsid w:val="006E73A2"/>
    <w:rsid w:val="0086555C"/>
    <w:rsid w:val="0090747B"/>
    <w:rsid w:val="009157D5"/>
    <w:rsid w:val="00BC3CC5"/>
    <w:rsid w:val="00DB4A84"/>
    <w:rsid w:val="00DC1DA6"/>
    <w:rsid w:val="00ED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3C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BC3CC5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BC3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BC3CC5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BC3CC5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BC3CC5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BC3CC5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BC3CC5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BC3CC5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C3CC5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BC3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BC3CC5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BC3CC5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BC3CC5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BC3CC5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BC3CC5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BC3CC5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paragraph" w:customStyle="1" w:styleId="punktory">
    <w:name w:val="punktory"/>
    <w:basedOn w:val="Akapitzlist"/>
    <w:link w:val="punktoryZnak"/>
    <w:qFormat/>
    <w:rsid w:val="00BC3CC5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BC3CC5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BC3CC5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BC3CC5"/>
  </w:style>
  <w:style w:type="character" w:customStyle="1" w:styleId="Sty10Znak">
    <w:name w:val="Sty10 Znak"/>
    <w:basedOn w:val="punktoryZnak"/>
    <w:link w:val="Sty10"/>
    <w:rsid w:val="00BC3CC5"/>
  </w:style>
  <w:style w:type="character" w:customStyle="1" w:styleId="AkapitzlistZnak">
    <w:name w:val="Akapit z listą Znak"/>
    <w:basedOn w:val="Domylnaczcionkaakapitu"/>
    <w:link w:val="Akapitzlist"/>
    <w:uiPriority w:val="1"/>
    <w:rsid w:val="00BC3CC5"/>
    <w:rPr>
      <w:rFonts w:ascii="Century Gothic" w:eastAsia="Century Gothic" w:hAnsi="Century Gothic" w:cs="Century Gothic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BC3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C3CC5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BC3CC5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BC3CC5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C3CC5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3CC5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C3CC5"/>
  </w:style>
  <w:style w:type="paragraph" w:customStyle="1" w:styleId="rozdzial">
    <w:name w:val="rozdzial"/>
    <w:basedOn w:val="Normalny"/>
    <w:uiPriority w:val="99"/>
    <w:rsid w:val="00BC3CC5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BC3CC5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BC3CC5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BC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BC3CC5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BC3CC5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C3C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C5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C3CC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CC5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BC3CC5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BC3CC5"/>
    <w:rPr>
      <w:rFonts w:cs="Times New Roman"/>
      <w:sz w:val="16"/>
      <w:szCs w:val="16"/>
      <w:lang w:val="en-US"/>
    </w:rPr>
  </w:style>
  <w:style w:type="paragraph" w:customStyle="1" w:styleId="Lista0listy">
    <w:name w:val="Lista 0 (listy)"/>
    <w:basedOn w:val="tekstglowny"/>
    <w:uiPriority w:val="99"/>
    <w:rsid w:val="00BC3CC5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C5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CC5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CC5"/>
    <w:rPr>
      <w:b/>
      <w:bCs/>
    </w:rPr>
  </w:style>
  <w:style w:type="paragraph" w:styleId="Poprawka">
    <w:name w:val="Revision"/>
    <w:hidden/>
    <w:uiPriority w:val="99"/>
    <w:semiHidden/>
    <w:rsid w:val="00BC3CC5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BC3C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4834</Words>
  <Characters>29004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2018-09-12T13:47:00Z</dcterms:created>
  <dcterms:modified xsi:type="dcterms:W3CDTF">2020-02-23T15:39:00Z</dcterms:modified>
</cp:coreProperties>
</file>